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body>
    <w:p>
      <w:pPr>
        <w:numPr>
          <w:ilvl w:val="0"/>
          <w:numId w:val="0"/>
        </w:numPr>
        <w:jc w:val="right"/>
        <w:spacing w:lineRule="auto" w:line="240" w:before="0" w:after="0"/>
        <w:ind w:right="0" w:left="0" w:firstLine="480"/>
        <w:rPr>
          <w:color w:val="auto"/>
          <w:position w:val="0"/>
          <w:sz w:val="24"/>
          <w:szCs w:val="24"/>
          <w:rFonts w:ascii="宋体" w:eastAsia="Times New Roman" w:hAnsi="Times New Roman" w:hint="default"/>
        </w:rPr>
        <w:snapToGrid w:val="off"/>
        <w:autoSpaceDE w:val="0"/>
        <w:autoSpaceDN w:val="0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48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ff"/>
        <w:autoSpaceDE w:val="0"/>
        <w:autoSpaceDN w:val="0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48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t>附件1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480"/>
        <w:rPr>
          <w:color w:val="auto"/>
          <w:position w:val="0"/>
          <w:sz w:val="24"/>
          <w:szCs w:val="24"/>
          <w:rFonts w:ascii="Times New Roman" w:eastAsia="Times New Roman" w:hAnsi="Times New Roman" w:hint="default"/>
        </w:rPr>
        <w:snapToGrid w:val="off"/>
        <w:autoSpaceDE w:val="0"/>
        <w:autoSpaceDN w:val="0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0"/>
        <w:rPr>
          <w:color w:val="auto"/>
          <w:position w:val="0"/>
          <w:sz w:val="44"/>
          <w:szCs w:val="44"/>
          <w:rFonts w:ascii="黑体" w:eastAsia="黑体" w:hAnsi="黑体" w:hint="default"/>
        </w:rPr>
        <w:snapToGrid w:val="off"/>
        <w:autoSpaceDE w:val="0"/>
        <w:autoSpaceDN w:val="0"/>
      </w:pPr>
      <w:r>
        <w:rPr>
          <w:color w:val="auto"/>
          <w:position w:val="0"/>
          <w:sz w:val="44"/>
          <w:szCs w:val="44"/>
          <w:rFonts w:ascii="黑体" w:eastAsia="黑体" w:hAnsi="黑体" w:hint="default"/>
        </w:rPr>
        <w:t>清华大学港澳研究中心重点项目（2019）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0"/>
        <w:rPr>
          <w:color w:val="auto"/>
          <w:position w:val="0"/>
          <w:sz w:val="36"/>
          <w:szCs w:val="36"/>
          <w:rFonts w:ascii="黑体" w:eastAsia="黑体" w:hAnsi="黑体" w:hint="default"/>
        </w:rPr>
        <w:snapToGrid w:val="off"/>
        <w:autoSpaceDE w:val="0"/>
        <w:autoSpaceDN w:val="0"/>
      </w:pPr>
      <w:r>
        <w:rPr>
          <w:color w:val="auto"/>
          <w:position w:val="0"/>
          <w:sz w:val="36"/>
          <w:szCs w:val="36"/>
          <w:rFonts w:ascii="黑体" w:eastAsia="黑体" w:hAnsi="黑体" w:hint="default"/>
        </w:rPr>
        <w:t>《香港在粤港澳大湾区建设中的优势与作用研究》</w:t>
      </w:r>
    </w:p>
    <w:p>
      <w:pPr>
        <w:numPr>
          <w:ilvl w:val="0"/>
          <w:numId w:val="0"/>
        </w:numPr>
        <w:jc w:val="center"/>
        <w:spacing w:lineRule="auto" w:line="240" w:before="0" w:after="0"/>
        <w:ind w:right="0" w:left="0" w:firstLine="0"/>
        <w:rPr>
          <w:color w:val="auto"/>
          <w:position w:val="0"/>
          <w:sz w:val="36"/>
          <w:szCs w:val="36"/>
          <w:rFonts w:ascii="黑体" w:eastAsia="黑体" w:hAnsi="黑体" w:hint="default"/>
        </w:rPr>
        <w:snapToGrid w:val="off"/>
        <w:autoSpaceDE w:val="0"/>
        <w:autoSpaceDN w:val="0"/>
      </w:pPr>
      <w:r>
        <w:rPr>
          <w:color w:val="auto"/>
          <w:position w:val="0"/>
          <w:sz w:val="36"/>
          <w:szCs w:val="36"/>
          <w:rFonts w:ascii="黑体" w:eastAsia="黑体" w:hAnsi="黑体" w:hint="default"/>
        </w:rPr>
        <w:t>（课题目录）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440"/>
        <w:rPr>
          <w:color w:val="auto"/>
          <w:position w:val="0"/>
          <w:sz w:val="22"/>
          <w:szCs w:val="22"/>
          <w:rFonts w:ascii="Times New Roman" w:eastAsia="Times New Roman" w:hAnsi="Times New Roman" w:hint="default"/>
        </w:rPr>
        <w:snapToGrid w:val="off"/>
        <w:autoSpaceDE w:val="0"/>
        <w:autoSpaceDN w:val="0"/>
      </w:pP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399"/>
        <w:rPr>
          <w:b w:val="1"/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b w:val="1"/>
          <w:color w:val="auto"/>
          <w:position w:val="0"/>
          <w:sz w:val="28"/>
          <w:szCs w:val="28"/>
          <w:rFonts w:ascii="Times New Roman" w:eastAsia="Times New Roman" w:hAnsi="Times New Roman" w:hint="default"/>
        </w:rPr>
        <w:t>一、“一国两制”与粤港澳大湾区建设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1. 习近平关于新时代港澳大政方针重要讲话解读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2. 新时代港澳在助力国家全面开放中的作用研究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3. 新时代港澳积极主动融入国家发展大局研究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4. 新时代港澳积极主动参与国家治理研究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5. 新时代港澳积极主动促进国际人文交流研究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6. 粤港澳大湾区建设：“一国两制”的新实践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2"/>
        <w:rPr>
          <w:b w:val="1"/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b w:val="1"/>
          <w:color w:val="auto"/>
          <w:position w:val="0"/>
          <w:sz w:val="28"/>
          <w:szCs w:val="28"/>
          <w:rFonts w:ascii="Times New Roman" w:eastAsia="Times New Roman" w:hAnsi="Times New Roman" w:hint="default"/>
        </w:rPr>
        <w:t>二、香港所具有的内地难以比拟的独特优势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7. 香港“一国两制”的独特优势研究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8. 香港区位优势研究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9. 香港开放合作的先行优势研究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10. 香港服务业专业化优势研究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11. 香港文化优势研究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2"/>
        <w:rPr>
          <w:b w:val="1"/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b w:val="1"/>
          <w:color w:val="auto"/>
          <w:position w:val="0"/>
          <w:sz w:val="28"/>
          <w:szCs w:val="28"/>
          <w:rFonts w:ascii="Times New Roman" w:eastAsia="Times New Roman" w:hAnsi="Times New Roman" w:hint="default"/>
        </w:rPr>
        <w:t>三、香港在粤港澳大湾区建设的定位和作用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12. 从《粤港澳发展规划纲要》看香港的定位和作用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13. 粤港澳大湾区建设与香港发展机遇期研究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14. 香港助推粤港澳大湾区制度机制创新作用研究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15. 香港在粤港澳大湾区科技创新发展中的地位和作用研究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2"/>
        <w:rPr>
          <w:b w:val="1"/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b w:val="1"/>
          <w:color w:val="auto"/>
          <w:position w:val="0"/>
          <w:sz w:val="28"/>
          <w:szCs w:val="28"/>
          <w:rFonts w:ascii="Times New Roman" w:eastAsia="Times New Roman" w:hAnsi="Times New Roman" w:hint="default"/>
        </w:rPr>
        <w:t>四、香港参与粤港澳大湾区建设的政策建议与重大举措研究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16. 内地涉港澳人财物往来的法规调整建议及理据研究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17. “国家所需，香港所长”结合点的选择与政策建议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18. 推进粤港澳大湾区生态环境协同治理的政策建议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19. 共建粤港澳大湾区宜居、宜业、宜游优质圈的政策建议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20. 推进粤港澳大湾区基础设施建设互联互通的政策建议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21. 共建粤港澳人文湾区，推动人文交流，文化创意产业发展</w:t>
      </w: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>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22. 发挥香港-深圳极点带动引领作用研究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23. 推动香港与粤港澳区域深度合作示范区研究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24. 拓展香港青年在粤港澳区域发展空间研究</w:t>
      </w:r>
    </w:p>
    <w:p>
      <w:pPr>
        <w:numPr>
          <w:ilvl w:val="0"/>
          <w:numId w:val="0"/>
        </w:numPr>
        <w:jc w:val="left"/>
        <w:spacing w:lineRule="exact" w:line="520" w:before="0" w:after="0"/>
        <w:ind w:right="0" w:left="0" w:firstLine="560"/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snapToGrid w:val="off"/>
        <w:autoSpaceDE w:val="0"/>
        <w:autoSpaceDN w:val="0"/>
      </w:pPr>
      <w:r>
        <w:rPr>
          <w:color w:val="auto"/>
          <w:position w:val="0"/>
          <w:sz w:val="28"/>
          <w:szCs w:val="28"/>
          <w:rFonts w:ascii="Times New Roman" w:eastAsia="Times New Roman" w:hAnsi="Times New Roman" w:hint="default"/>
        </w:rPr>
        <w:t xml:space="preserve">25. 推动粤港澳高校合作办学研究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left="0" w:firstLine="0"/>
        <w:rPr>
          <w:rStyle w:val="PO0"/>
          <w:spacing w:val="0"/>
          <w:vertAlign w:val="baseline"/>
          <w:color w:val="auto"/>
          <w:position w:val="0"/>
          <w:sz w:val="20"/>
          <w:szCs w:val="20"/>
          <w:smallCaps w:val="0"/>
          <w:rFonts w:ascii="Calibri" w:eastAsia="宋体" w:hAnsi="宋体" w:hint="default"/>
        </w:rPr>
        <w:snapToGrid w:val="on"/>
        <w:autoSpaceDE w:val="1"/>
        <w:autoSpaceDN w:val="1"/>
      </w:pPr>
      <w:r>
        <w:br w:type="page"/>
      </w:r>
    </w:p>
    <w:sectPr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6"/>
      <w:numPr>
        <w:ilvl w:val="0"/>
        <w:numId w:val="0"/>
      </w:numPr>
      <w:jc w:val="left"/>
      <w:spacing w:lineRule="auto" w:line="240" w:before="0" w:after="0"/>
      <w:ind w:right="0" w:left="0" w:firstLine="360"/>
      <w:tabs>
        <w:tab w:val="center" w:pos="4153"/>
        <w:tab w:val="center" w:pos="4153"/>
        <w:tab w:val="right" w:pos="8306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6"/>
      <w:numPr>
        <w:ilvl w:val="0"/>
        <w:numId w:val="0"/>
      </w:numPr>
      <w:jc w:val="left"/>
      <w:spacing w:lineRule="auto" w:line="240" w:before="0" w:after="0"/>
      <w:ind w:right="0" w:left="0" w:firstLine="360"/>
      <w:tabs>
        <w:tab w:val="center" w:pos="4153"/>
        <w:tab w:val="center" w:pos="4153"/>
        <w:tab w:val="right" w:pos="8306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6"/>
      <w:numPr>
        <w:ilvl w:val="0"/>
        <w:numId w:val="0"/>
      </w:numPr>
      <w:jc w:val="left"/>
      <w:spacing w:lineRule="auto" w:line="240" w:before="0" w:after="0"/>
      <w:ind w:right="0" w:left="0" w:firstLine="360"/>
      <w:tabs>
        <w:tab w:val="center" w:pos="4153"/>
        <w:tab w:val="center" w:pos="4153"/>
        <w:tab w:val="right" w:pos="8306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ft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4"/>
      <w:numPr>
        <w:ilvl w:val="0"/>
        <w:numId w:val="0"/>
      </w:numPr>
      <w:jc w:val="center"/>
      <w:spacing w:lineRule="auto" w:line="240" w:before="0" w:after="0"/>
      <w:pBdr>
        <w:bottom w:val="single" w:sz="6" w:space="0" w:color="000000"/>
      </w:pBdr>
      <w:ind w:right="0" w:left="0" w:firstLine="360"/>
      <w:tabs>
        <w:tab w:val="center" w:pos="4153"/>
        <w:tab w:val="center" w:pos="4153"/>
        <w:tab w:val="right" w:pos="8306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4"/>
      <w:numPr>
        <w:ilvl w:val="0"/>
        <w:numId w:val="0"/>
      </w:numPr>
      <w:jc w:val="center"/>
      <w:spacing w:lineRule="auto" w:line="240" w:before="0" w:after="0"/>
      <w:pBdr>
        <w:bottom w:val="single" w:sz="6" w:space="0" w:color="000000"/>
      </w:pBdr>
      <w:ind w:right="0" w:left="0" w:firstLine="360"/>
      <w:tabs>
        <w:tab w:val="center" w:pos="4153"/>
        <w:tab w:val="center" w:pos="4153"/>
        <w:tab w:val="right" w:pos="8306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54"/>
      <w:numPr>
        <w:ilvl w:val="0"/>
        <w:numId w:val="0"/>
      </w:numPr>
      <w:jc w:val="center"/>
      <w:spacing w:lineRule="auto" w:line="240" w:before="0" w:after="0"/>
      <w:pBdr>
        <w:bottom w:val="single" w:sz="6" w:space="0" w:color="000000"/>
      </w:pBdr>
      <w:ind w:right="0" w:left="0" w:firstLine="360"/>
      <w:tabs>
        <w:tab w:val="center" w:pos="4153"/>
        <w:tab w:val="center" w:pos="4153"/>
        <w:tab w:val="right" w:pos="8306"/>
        <w:tab w:val="right" w:pos="8306"/>
      </w:tabs>
      <w:rPr>
        <w:color w:val="auto"/>
        <w:position w:val="0"/>
        <w:sz w:val="18"/>
        <w:szCs w:val="18"/>
        <w:rFonts w:ascii="Times New Roman" w:eastAsia="Times New Roman" w:hAnsi="Times New Roman" w:hint="default"/>
      </w:rPr>
      <w:snapToGrid w:val="off"/>
      <w:autoSpaceDE w:val="0"/>
      <w:autoSpaceDN w:val="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宋体" w:hAnsi="Calibri"/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autoSpaceDE w:val="0"/>
      <w:autoSpaceDN w:val="0"/>
      <w:ind w:firstLine="400"/>
      <w:widowControl/>
      <w:wordWrap/>
    </w:pPr>
    <w:rPr>
      <w:rFonts w:ascii="Times New Roman" w:eastAsia="Times New Roman" w:hAnsi="Times New Roman"/>
      <w:shd w:val="clear"/>
      <w:sz w:val="24"/>
      <w:szCs w:val="24"/>
      <w:w w:val="100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basedOn w:val="PO3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1"/>
      <w:szCs w:val="21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152" w:type="paragraph">
    <w:name w:val="Balloon Text"/>
    <w:basedOn w:val="PO1"/>
    <w:link w:val="PO153"/>
    <w:uiPriority w:val="152"/>
    <w:rPr>
      <w:shd w:val="clear"/>
      <w:sz w:val="18"/>
      <w:szCs w:val="18"/>
      <w:w w:val="100"/>
    </w:rPr>
  </w:style>
  <w:style w:customStyle="1" w:styleId="PO153" w:type="character">
    <w:name w:val="批注框文本 Char"/>
    <w:basedOn w:val="PO2"/>
    <w:link w:val="PO152"/>
    <w:uiPriority w:val="153"/>
    <w:rPr>
      <w:rFonts w:ascii="Times New Roman" w:eastAsia="Times New Roman" w:hAnsi="Times New Roman"/>
      <w:shd w:val="clear"/>
      <w:sz w:val="18"/>
      <w:szCs w:val="18"/>
      <w:w w:val="100"/>
    </w:rPr>
  </w:style>
  <w:style w:styleId="PO154" w:type="paragraph">
    <w:name w:val="header"/>
    <w:basedOn w:val="PO1"/>
    <w:link w:val="PO155"/>
    <w:uiPriority w:val="154"/>
    <w:pPr>
      <w:autoSpaceDE w:val="1"/>
      <w:autoSpaceDN w:val="1"/>
      <w:jc w:val="center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5" w:type="character">
    <w:name w:val="页眉 Char"/>
    <w:basedOn w:val="PO2"/>
    <w:link w:val="PO154"/>
    <w:uiPriority w:val="155"/>
    <w:rPr>
      <w:rFonts w:ascii="Times New Roman" w:eastAsia="Times New Roman" w:hAnsi="Times New Roman"/>
      <w:shd w:val="clear"/>
      <w:sz w:val="18"/>
      <w:szCs w:val="18"/>
      <w:w w:val="100"/>
    </w:rPr>
  </w:style>
  <w:style w:styleId="PO156" w:type="paragraph">
    <w:name w:val="footer"/>
    <w:basedOn w:val="PO1"/>
    <w:link w:val="PO157"/>
    <w:uiPriority w:val="156"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7" w:type="character">
    <w:name w:val="页脚 Char"/>
    <w:basedOn w:val="PO2"/>
    <w:link w:val="PO156"/>
    <w:uiPriority w:val="157"/>
    <w:rPr>
      <w:rFonts w:ascii="Times New Roman" w:eastAsia="Times New Roman" w:hAnsi="Times New Roman"/>
      <w:shd w:val="clear"/>
      <w:sz w:val="18"/>
      <w:szCs w:val="18"/>
      <w:w w:val="100"/>
    </w:rPr>
  </w:style>
  <w:style w:styleId="PO158" w:type="character">
    <w:name w:val="Hyperlink"/>
    <w:basedOn w:val="PO2"/>
    <w:uiPriority w:val="158"/>
    <w:rPr>
      <w:color w:val="0563C1" w:themeColor="hyperlink"/>
      <w:shd w:val="clear"/>
      <w:sz w:val="20"/>
      <w:szCs w:val="20"/>
      <w:u w:val="single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header" Target="header2.xml"></Relationship><Relationship Id="rId6" Type="http://schemas.openxmlformats.org/officeDocument/2006/relationships/header" Target="header3.xml"></Relationship><Relationship Id="rId7" Type="http://schemas.openxmlformats.org/officeDocument/2006/relationships/footer" Target="footer5.xml"></Relationship><Relationship Id="rId8" Type="http://schemas.openxmlformats.org/officeDocument/2006/relationships/footer" Target="footer6.xml"></Relationship><Relationship Id="rId9" Type="http://schemas.openxmlformats.org/officeDocument/2006/relationships/header" Target="header4.xml"></Relationship><Relationship Id="rId10" Type="http://schemas.openxmlformats.org/officeDocument/2006/relationships/footer" Target="footer7.xml"></Relationship><Relationship Id="rId11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Company>Sky123.Org</Company>
  <DocSecurity>0</DocSecurity>
  <HyperlinksChanged>false</HyperlinksChanged>
  <Lines>11</Lines>
  <LinksUpToDate>false</LinksUpToDate>
  <Pages>2</Pages>
  <Paragraphs>3</Paragraphs>
  <Words>234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丝烙</dc:creator>
  <cp:lastModifiedBy/>
  <dcterms:modified xsi:type="dcterms:W3CDTF">2019-03-19T08:28:00Z</dcterms:modified>
</cp:coreProperties>
</file>